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3A" w:rsidRDefault="0029153A" w:rsidP="0029153A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eastAsia="ru-RU"/>
        </w:rPr>
        <w:t>Методические рекомендации</w:t>
      </w:r>
    </w:p>
    <w:p w:rsidR="0029153A" w:rsidRDefault="0029153A" w:rsidP="0029153A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по урегулированию</w:t>
      </w:r>
      <w:r w:rsidRPr="0092080B">
        <w:rPr>
          <w:rFonts w:ascii="Times New Roman" w:hAnsi="Times New Roman"/>
          <w:b/>
          <w:sz w:val="32"/>
          <w:szCs w:val="32"/>
          <w:lang w:eastAsia="ru-RU"/>
        </w:rPr>
        <w:t xml:space="preserve"> конфликта интересов на государственной службе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 и мероприятиям по противодействию коррупции</w:t>
      </w:r>
      <w:r w:rsidRPr="0092080B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</w:p>
    <w:p w:rsidR="0029153A" w:rsidRPr="0092080B" w:rsidRDefault="0029153A" w:rsidP="0029153A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29153A" w:rsidRDefault="0029153A" w:rsidP="0029153A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 для государственных гражданских служащих министерства труда и социального развития Ростовской области составлены на основании информации Министерства труда и социальной защиты Российской Федерации от 19.10.2012 </w:t>
      </w:r>
      <w:r w:rsidRPr="00E02CD2">
        <w:rPr>
          <w:rFonts w:ascii="Times New Roman" w:hAnsi="Times New Roman"/>
          <w:sz w:val="28"/>
          <w:szCs w:val="28"/>
          <w:lang w:eastAsia="ru-RU"/>
        </w:rPr>
        <w:t>«Обзор типовых ситуаций конфликта интересов на государственной службе Российской Федерации и порядка их урегулирования»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>В соответствии с частью 1 статьи 10 Федерального закона от 25 декабря 2008 г. № 273-ФЗ «О противодействии коррупции» (далее – Федеральный закон № 273-ФЗ) под конфликтом интересов понимается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госуд</w:t>
      </w:r>
      <w:r>
        <w:rPr>
          <w:rFonts w:ascii="Times New Roman" w:hAnsi="Times New Roman"/>
          <w:sz w:val="28"/>
          <w:szCs w:val="28"/>
          <w:lang w:eastAsia="ru-RU"/>
        </w:rPr>
        <w:t xml:space="preserve">арственного 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 служащего и правами и законными интересами граждан, организаций, общества или государства, </w:t>
      </w: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>способное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привести к причинению вреда правам и законным интересам граждан, организаций, общества или государства.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Согласно части 1 статьи 19 Федерального закона от 27 июля 2004 г. № 79-ФЗ «О государственной гражданской службе Российской Федерации» (далее – Федеральный закон № 79-ФЗ) конфликт интересов представляет собой ситуацию, </w:t>
      </w: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>при которой личная заинтересованность государственного гражданского служащего Российской Федерации (далее – гражданский служащий)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Федерации или Российской Федерации.</w:t>
      </w:r>
    </w:p>
    <w:p w:rsidR="0029153A" w:rsidRPr="006912B2" w:rsidRDefault="0029153A" w:rsidP="0029153A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 соответствии с частью 3 обозначенной статьи под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лиц, указанных в пункте 5 части 1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статьи 16 Федерального </w:t>
      </w:r>
      <w:r>
        <w:rPr>
          <w:rFonts w:ascii="Times New Roman" w:hAnsi="Times New Roman"/>
          <w:sz w:val="28"/>
          <w:szCs w:val="28"/>
          <w:lang w:eastAsia="ru-RU"/>
        </w:rPr>
        <w:t>закона № 79-ФЗ</w:t>
      </w:r>
      <w:r w:rsidRPr="006912B2">
        <w:rPr>
          <w:rFonts w:ascii="Times New Roman" w:hAnsi="Times New Roman"/>
          <w:sz w:val="28"/>
          <w:szCs w:val="28"/>
          <w:lang w:eastAsia="ru-RU"/>
        </w:rPr>
        <w:t>, а также для граждан или организаций, с которыми гражданский служащий связан финансовыми или иными обязательствами.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 xml:space="preserve">Следует также учитывать, что личная заинтересованность государственного служащего может возникать и в тех случаях, когда выгоду получают или могут </w:t>
      </w:r>
      <w:r w:rsidRPr="006912B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получить иные лица, например, друзья государственного служащего, его родственников. 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Под указанные определения конфликта интересов попадает множество конкретных ситуаций, в которых государственный служащий может оказаться в процессе исполнения должностных обязанностей. Учитывая разнообразие частных интересов государственных служащих, составить исчерпывающий перечень таких ситуаций не представляется возможным. Тем не менее, можно выделить ряд ключевых «областей регулирования», в которых возникновение конфликта интересов является наиболее вероятным: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выполнение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выполнение иной оплачиваемой работы;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владение ценными бумагами, банковскими вкладами;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получение подарков и услуг;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имущественные обязательства и судебные разбирательства;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взаимодействие с бывшим работодателем и трудоустройство после увольнения с государственной службы;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 xml:space="preserve">Частью 4 статьи 1 Федерального закона № 273-ФЗ установлено, что функции </w:t>
      </w:r>
      <w:r>
        <w:rPr>
          <w:rFonts w:ascii="Times New Roman" w:hAnsi="Times New Roman"/>
          <w:sz w:val="28"/>
          <w:szCs w:val="28"/>
          <w:lang w:eastAsia="ru-RU"/>
        </w:rPr>
        <w:t>государственного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 (административного) управления организацией представляют собой полномочия государстве</w:t>
      </w:r>
      <w:r>
        <w:rPr>
          <w:rFonts w:ascii="Times New Roman" w:hAnsi="Times New Roman"/>
          <w:sz w:val="28"/>
          <w:szCs w:val="28"/>
          <w:lang w:eastAsia="ru-RU"/>
        </w:rPr>
        <w:t>нного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решений.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6912B2">
        <w:rPr>
          <w:rFonts w:ascii="Times New Roman" w:hAnsi="Times New Roman"/>
          <w:sz w:val="28"/>
          <w:szCs w:val="28"/>
          <w:lang w:eastAsia="ru-RU"/>
        </w:rPr>
        <w:t>существление «функций государственного управления» предполагает, в том числе: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размещение заказов на поставку товаров, выполнение работ и оказание услуг для государственных нужд, в том числе участие в работе комиссии по размещению заказов;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осуществление государственного надзора и контроля;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организацию продажи приватизируемого государственного имущества, иного имущества, а также права на заключение договоров аренды земельных участков, находящихся в государственной собственности;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подготовку и принятие решений об отсрочке уплаты налогов и сборов;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lastRenderedPageBreak/>
        <w:t>лицензирование отдельных видов деятельности, выдача разрешений на отдельные виды работ и иные действия;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проведение государственной экспертизы и выдача заключений;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 муниципальному имуществу;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представление в судебных органах прав и законных интересов Российской Федерации, субъектов Российской Федерации;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участие государственного служащего в осуществлении оперативно-розыскной деятельности, а также деятельности, связанной с предварительным следствием и дознанием по уголовным делам.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 целях установления единой системы запретов, ограничений и дозволений, обеспечивающих предупреждение коррупции в государственном секторе, принят Федеральный закон 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и принятием Федерального закона «О противодействии коррупции», в соответствии с которым ограничения, запреты и обязанности, установленные Федеральным законом № 273-ФЗ и статьями 17, 18 и 20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6912B2">
        <w:rPr>
          <w:rFonts w:ascii="Times New Roman" w:hAnsi="Times New Roman"/>
          <w:sz w:val="28"/>
          <w:szCs w:val="28"/>
          <w:lang w:eastAsia="ru-RU"/>
        </w:rPr>
        <w:t>№ 79-ФЗ, распространяются на иные виды государственной службы.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>С принятием Федерального закона от 21 ноября 2011 г.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ограничения, запреты и обязанности, установленные для государственных служащих, распространены на работников, замещающих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>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органами.</w:t>
      </w:r>
      <w:proofErr w:type="gramEnd"/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обязанностей, предусмотренных статьей 11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6912B2">
        <w:rPr>
          <w:rFonts w:ascii="Times New Roman" w:hAnsi="Times New Roman"/>
          <w:sz w:val="28"/>
          <w:szCs w:val="28"/>
          <w:lang w:eastAsia="ru-RU"/>
        </w:rPr>
        <w:t>№ 273-ФЗ.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В частности, частью 2 статьи 11 Федерального закона № 273-ФЗ установлена обязанность государственного служащего в письменной форме </w:t>
      </w: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>уведомить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своего непосредственного начальника о возможности возникновения конфликта интересов.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lastRenderedPageBreak/>
        <w:t>Причем,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проверки, а проверки, проводимой подразделением кадровой службы по профилактике коррупционных и иных правонарушений.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Применение мер по предотвращению конфликта интересов может осуществляться по инициативе государственного служащего, и не связываться с его обязанностями, установленными законодательством о государственной службе и противодействии коррупции. Например, обращение государственного служащего с ходатайством об установлении соответствующей комиссией,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Предотвращение или урегулирование конфликта интересов может состоять в изменении должностного или служебного положения гос</w:t>
      </w:r>
      <w:r>
        <w:rPr>
          <w:rFonts w:ascii="Times New Roman" w:hAnsi="Times New Roman"/>
          <w:sz w:val="28"/>
          <w:szCs w:val="28"/>
          <w:lang w:eastAsia="ru-RU"/>
        </w:rPr>
        <w:t>ударственного</w:t>
      </w:r>
      <w:r w:rsidRPr="006912B2">
        <w:rPr>
          <w:rFonts w:ascii="Times New Roman" w:hAnsi="Times New Roman"/>
          <w:sz w:val="28"/>
          <w:szCs w:val="28"/>
          <w:lang w:eastAsia="ru-RU"/>
        </w:rPr>
        <w:t xml:space="preserve">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Представителю нанимателя наряду с изменением должностного или служебного положения гражданского служащего необходимо: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>использовать механизм проверок, предусмотренный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2009 г. № 1065 (при наличии основания, установленного пунктом 10).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В этой связи необходимо учитывать, что статьей 59.3 Федерального закона № 79-ФЗ установлен специальный порядок применения взысканий за коррупционные правонарушения;</w:t>
      </w:r>
    </w:p>
    <w:p w:rsidR="0029153A" w:rsidRPr="006912B2" w:rsidRDefault="0029153A" w:rsidP="0029153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>активнее привлекать соответствующие комиссии для выработки мер по предотвращению конфликта интересов. В частности, в тех ситуациях, когда требуется осуществить оценку действий государственного служащего, установить наличие или отсутствие получаемой им выгоды, а также осуществить профилактическое воздействие.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912B2">
        <w:rPr>
          <w:rFonts w:ascii="Times New Roman" w:hAnsi="Times New Roman"/>
          <w:sz w:val="28"/>
          <w:szCs w:val="28"/>
          <w:lang w:eastAsia="ru-RU"/>
        </w:rPr>
        <w:t>Так, на основании соответствующего представления, предусмотренного подпунктом «в»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№ 821, вопрос выработки мер по выявлению и устранению причин и условий, способствующих возникновению конфликта интересов на государственной службе, может быть рассмотрен на заседании данной</w:t>
      </w:r>
      <w:proofErr w:type="gramEnd"/>
      <w:r w:rsidRPr="006912B2">
        <w:rPr>
          <w:rFonts w:ascii="Times New Roman" w:hAnsi="Times New Roman"/>
          <w:sz w:val="28"/>
          <w:szCs w:val="28"/>
          <w:lang w:eastAsia="ru-RU"/>
        </w:rPr>
        <w:t xml:space="preserve"> комиссии.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lastRenderedPageBreak/>
        <w:t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29153A" w:rsidRPr="006912B2" w:rsidRDefault="0029153A" w:rsidP="0029153A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12B2">
        <w:rPr>
          <w:rFonts w:ascii="Times New Roman" w:hAnsi="Times New Roman"/>
          <w:sz w:val="28"/>
          <w:szCs w:val="28"/>
          <w:lang w:eastAsia="ru-RU"/>
        </w:rPr>
        <w:t xml:space="preserve">Мониторинг практики рассмотрения случаев конфликта интересов на государственной службе, проводимый </w:t>
      </w:r>
      <w:proofErr w:type="spellStart"/>
      <w:r w:rsidRPr="006912B2">
        <w:rPr>
          <w:rFonts w:ascii="Times New Roman" w:hAnsi="Times New Roman"/>
          <w:sz w:val="28"/>
          <w:szCs w:val="28"/>
          <w:lang w:eastAsia="ru-RU"/>
        </w:rPr>
        <w:t>Минз</w:t>
      </w:r>
      <w:r>
        <w:rPr>
          <w:rFonts w:ascii="Times New Roman" w:hAnsi="Times New Roman"/>
          <w:sz w:val="28"/>
          <w:szCs w:val="28"/>
          <w:lang w:eastAsia="ru-RU"/>
        </w:rPr>
        <w:t>дравсоцразвития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6912B2">
        <w:rPr>
          <w:rFonts w:ascii="Times New Roman" w:hAnsi="Times New Roman"/>
          <w:sz w:val="28"/>
          <w:szCs w:val="28"/>
          <w:lang w:eastAsia="ru-RU"/>
        </w:rPr>
        <w:t>, а также анализ информации о деятельности комиссий показал, что наиболее часто рассматриваемыми случаями конфликта интересов являются: совершение действий, принятие решений в отношении родственников, друзей, деловых партнеров государственного служащего; выполнение последним иной оплачиваемой работы, владение государственным служащим ценными бумагами, акциями (долями участия, паями в уставных (складочных) капиталах организаций), замещение должности в коммерческих и некоммерческих организациях после увольнения с государственной службы, если отдельные функции государственного управления данными организациями входили в должностные (служебные) обязанности государственного служащего.</w:t>
      </w: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9153A" w:rsidRDefault="0029153A" w:rsidP="0029153A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29153A" w:rsidSect="0029153A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A"/>
    <w:rsid w:val="00250EC8"/>
    <w:rsid w:val="0029153A"/>
    <w:rsid w:val="0031308D"/>
    <w:rsid w:val="003E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5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5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Баташев</dc:creator>
  <cp:lastModifiedBy>Виктор Баташев</cp:lastModifiedBy>
  <cp:revision>2</cp:revision>
  <dcterms:created xsi:type="dcterms:W3CDTF">2015-03-10T12:19:00Z</dcterms:created>
  <dcterms:modified xsi:type="dcterms:W3CDTF">2015-03-10T12:19:00Z</dcterms:modified>
</cp:coreProperties>
</file>